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120" w:before="0" w:line="275"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Məqalənin Başlığı (Title): Böyük Hərflərlə, Qalın (Bold), Times New Roman, 14 pt</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187" w:line="275"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Müəllifin Adı Soyadı</w:t>
      </w:r>
      <w:r w:rsidDel="00000000" w:rsidR="00000000" w:rsidRPr="00000000">
        <w:rPr>
          <w:rFonts w:ascii="Google Sans" w:cs="Google Sans" w:eastAsia="Google Sans" w:hAnsi="Google Sans"/>
          <w:b w:val="1"/>
          <w:bCs w:val="1"/>
          <w:color w:val="1f1f1f"/>
        </w:rPr>
        <w:drawing>
          <wp:inline distB="19050" distT="19050" distL="19050" distR="19050">
            <wp:extent cx="78284" cy="244636"/>
            <wp:effectExtent b="0" l="0" r="0" t="0"/>
            <wp:docPr id="3"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78284" cy="244636"/>
                    </a:xfrm>
                    <a:prstGeom prst="rect"/>
                    <a:ln/>
                  </pic:spPr>
                </pic:pic>
              </a:graphicData>
            </a:graphic>
          </wp:inline>
        </w:drawing>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b w:val="1"/>
          <w:bCs w:val="1"/>
          <w:color w:val="1f1f1f"/>
          <w:rtl w:val="0"/>
        </w:rPr>
        <w:t xml:space="preserve">Digər Müəllifin Adı Soyadı</w:t>
      </w:r>
      <w:r w:rsidDel="00000000" w:rsidR="00000000" w:rsidRPr="00000000">
        <w:rPr>
          <w:rFonts w:ascii="Google Sans" w:cs="Google Sans" w:eastAsia="Google Sans" w:hAnsi="Google Sans"/>
          <w:b w:val="1"/>
          <w:bCs w:val="1"/>
          <w:color w:val="1f1f1f"/>
        </w:rPr>
        <w:drawing>
          <wp:inline distB="19050" distT="19050" distL="19050" distR="19050">
            <wp:extent cx="78284" cy="244636"/>
            <wp:effectExtent b="0" l="0" r="0" t="0"/>
            <wp:docPr id="5"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78284" cy="244636"/>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187" w:line="275"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Pr>
        <w:drawing>
          <wp:inline distB="19050" distT="19050" distL="19050" distR="19050">
            <wp:extent cx="78284" cy="244636"/>
            <wp:effectExtent b="0" l="0" r="0" t="0"/>
            <wp:docPr id="4"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78284" cy="244636"/>
                    </a:xfrm>
                    <a:prstGeom prst="rect"/>
                    <a:ln/>
                  </pic:spPr>
                </pic:pic>
              </a:graphicData>
            </a:graphic>
          </wp:inline>
        </w:drawing>
      </w:r>
      <w:r w:rsidDel="00000000" w:rsidR="00000000" w:rsidRPr="00000000">
        <w:rPr>
          <w:rFonts w:ascii="Google Sans" w:cs="Google Sans" w:eastAsia="Google Sans" w:hAnsi="Google Sans"/>
          <w:color w:val="1f1f1f"/>
          <w:rtl w:val="0"/>
        </w:rPr>
        <w:t xml:space="preserve">İşlədiyiniz Və Ya Oxuduğunuz Müəssisə, Şəhər, Ölkə</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187" w:line="275"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Pr>
        <w:drawing>
          <wp:inline distB="19050" distT="19050" distL="19050" distR="19050">
            <wp:extent cx="78284" cy="244636"/>
            <wp:effectExtent b="0" l="0" r="0" t="0"/>
            <wp:docPr id="7"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78284" cy="244636"/>
                    </a:xfrm>
                    <a:prstGeom prst="rect"/>
                    <a:ln/>
                  </pic:spPr>
                </pic:pic>
              </a:graphicData>
            </a:graphic>
          </wp:inline>
        </w:drawing>
      </w:r>
      <w:r w:rsidDel="00000000" w:rsidR="00000000" w:rsidRPr="00000000">
        <w:rPr>
          <w:rFonts w:ascii="Google Sans" w:cs="Google Sans" w:eastAsia="Google Sans" w:hAnsi="Google Sans"/>
          <w:color w:val="1f1f1f"/>
          <w:rtl w:val="0"/>
        </w:rPr>
        <w:t xml:space="preserve">İşlədiyiniz Və Ya Oxuduğunuz Müəssisə, Şəhər, Ölkə</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187" w:line="275"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E-poçt: müəllif@example.com</w:t>
      </w:r>
    </w:p>
    <w:p w:rsidR="00000000" w:rsidDel="00000000" w:rsidP="00000000" w:rsidRDefault="00000000" w:rsidRPr="00000000" w14:paraId="00000006">
      <w:pPr>
        <w:pStyle w:val="Heading3"/>
        <w:spacing w:after="120" w:before="0" w:line="275"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Xülasə (Abstract)</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187" w:line="275" w:lineRule="auto"/>
        <w:rPr>
          <w:rFonts w:ascii="Google Sans" w:cs="Google Sans" w:eastAsia="Google Sans" w:hAnsi="Google Sans"/>
          <w:i w:val="1"/>
          <w:iCs w:val="1"/>
          <w:color w:val="1f1f1f"/>
        </w:rPr>
      </w:pPr>
      <w:r w:rsidDel="00000000" w:rsidR="00000000" w:rsidRPr="00000000">
        <w:rPr>
          <w:rFonts w:ascii="Google Sans" w:cs="Google Sans" w:eastAsia="Google Sans" w:hAnsi="Google Sans"/>
          <w:i w:val="1"/>
          <w:iCs w:val="1"/>
          <w:color w:val="1f1f1f"/>
          <w:rtl w:val="0"/>
        </w:rPr>
        <w:t xml:space="preserve">Burada məqalənin qısa xülasəsi verilir (adətən 150-250 söz). Xülasə tədqiqatın məqsədini, istifadə olunan metodologiyanı, əsas nəticələri və elmi yeniliyi əhatə etməlidir. Kursiv (Italic) şriftlə, 10-11 pt ölçüdə yazılması tövsiyə olunur.</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187" w:line="275" w:lineRule="auto"/>
        <w:rPr>
          <w:rFonts w:ascii="Google Sans" w:cs="Google Sans" w:eastAsia="Google Sans" w:hAnsi="Google Sans"/>
          <w:i w:val="1"/>
          <w:iCs w:val="1"/>
          <w:color w:val="1f1f1f"/>
        </w:rPr>
      </w:pPr>
      <w:r w:rsidDel="00000000" w:rsidR="00000000" w:rsidRPr="00000000">
        <w:rPr>
          <w:rFonts w:ascii="Google Sans" w:cs="Google Sans" w:eastAsia="Google Sans" w:hAnsi="Google Sans"/>
          <w:b w:val="1"/>
          <w:bCs w:val="1"/>
          <w:color w:val="1f1f1f"/>
          <w:rtl w:val="0"/>
        </w:rPr>
        <w:t xml:space="preserve">Açar sözlər:</w:t>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i w:val="1"/>
          <w:iCs w:val="1"/>
          <w:color w:val="1f1f1f"/>
          <w:rtl w:val="0"/>
        </w:rPr>
        <w:t xml:space="preserve">Açar söz 1; açar söz 2; açar söz 3; açar söz 4; açar söz 5 (5-6 ədəd olmalıdır).</w:t>
      </w:r>
    </w:p>
    <w:p w:rsidR="00000000" w:rsidDel="00000000" w:rsidP="00000000" w:rsidRDefault="00000000" w:rsidRPr="00000000" w14:paraId="00000009">
      <w:pPr>
        <w:pStyle w:val="Heading3"/>
        <w:spacing w:after="120" w:before="0" w:line="275"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Abstract (İngilis dilində xülasə)</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187" w:line="275" w:lineRule="auto"/>
        <w:rPr>
          <w:rFonts w:ascii="Google Sans" w:cs="Google Sans" w:eastAsia="Google Sans" w:hAnsi="Google Sans"/>
          <w:i w:val="1"/>
          <w:iCs w:val="1"/>
          <w:color w:val="1f1f1f"/>
        </w:rPr>
      </w:pPr>
      <w:r w:rsidDel="00000000" w:rsidR="00000000" w:rsidRPr="00000000">
        <w:rPr>
          <w:rFonts w:ascii="Google Sans" w:cs="Google Sans" w:eastAsia="Google Sans" w:hAnsi="Google Sans"/>
          <w:i w:val="1"/>
          <w:iCs w:val="1"/>
          <w:color w:val="1f1f1f"/>
          <w:rtl w:val="0"/>
        </w:rPr>
        <w:t xml:space="preserve">International indexing tələblərinə görə məqalənin ingilis dilində xülasəsi mütləqdir. Here goes the English abstract of the research paper summarizing the core objectives, methods, and findings.</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187" w:line="275" w:lineRule="auto"/>
        <w:rPr>
          <w:rFonts w:ascii="Google Sans" w:cs="Google Sans" w:eastAsia="Google Sans" w:hAnsi="Google Sans"/>
          <w:i w:val="1"/>
          <w:iCs w:val="1"/>
          <w:color w:val="1f1f1f"/>
        </w:rPr>
      </w:pPr>
      <w:r w:rsidDel="00000000" w:rsidR="00000000" w:rsidRPr="00000000">
        <w:rPr>
          <w:rFonts w:ascii="Google Sans" w:cs="Google Sans" w:eastAsia="Google Sans" w:hAnsi="Google Sans"/>
          <w:b w:val="1"/>
          <w:bCs w:val="1"/>
          <w:color w:val="1f1f1f"/>
          <w:rtl w:val="0"/>
        </w:rPr>
        <w:t xml:space="preserve">Keywords:</w:t>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i w:val="1"/>
          <w:iCs w:val="1"/>
          <w:color w:val="1f1f1f"/>
          <w:rtl w:val="0"/>
        </w:rPr>
        <w:t xml:space="preserve">Keyword 1; keyword 2; keyword 3; keyword 4; keyword 5.</w:t>
      </w:r>
    </w:p>
    <w:p w:rsidR="00000000" w:rsidDel="00000000" w:rsidP="00000000" w:rsidRDefault="00000000" w:rsidRPr="00000000" w14:paraId="0000000C">
      <w:pPr>
        <w:pStyle w:val="Heading3"/>
        <w:spacing w:after="120" w:before="0" w:line="275"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 Giriş (Introduction)</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187" w:line="275"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Bu hissədə tədqiqat mövzusunun aktuallığı, problemin qoyuluşu, mövzu üzrə əvvəlki tədqiqatların icmalı (literature review) və bu tədqiqatın məqsədi ətraflı şəkildə izah edilir. Beynəlxalq jurnallarda giriş oxucuda maraq oyatmalı və araşdırmanın nə üçün vacib olduğunu əsaslandırmalıdır.</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187" w:line="275"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Məsələn, elmi yanaşmaları təqdim edərkən düsturlardan da istifadə edə bilərsiniz. Məsələn, iqtisadi və ya riyazi bir ifadə:</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187" w:line="275"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10">
      <w:pPr>
        <w:pStyle w:val="Heading3"/>
        <w:spacing w:after="120" w:before="0" w:line="275"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Pr>
        <w:drawing>
          <wp:inline distB="19050" distT="19050" distL="19050" distR="19050">
            <wp:extent cx="5905500" cy="510020"/>
            <wp:effectExtent b="0" l="0" r="0" t="0"/>
            <wp:docPr id="6"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5905500" cy="510020"/>
                    </a:xfrm>
                    <a:prstGeom prst="rect"/>
                    <a:ln/>
                  </pic:spPr>
                </pic:pic>
              </a:graphicData>
            </a:graphic>
          </wp:inline>
        </w:drawing>
      </w:r>
      <w:r w:rsidDel="00000000" w:rsidR="00000000" w:rsidRPr="00000000">
        <w:rPr>
          <w:rFonts w:ascii="Google Sans" w:cs="Google Sans" w:eastAsia="Google Sans" w:hAnsi="Google Sans"/>
          <w:color w:val="1f1f1f"/>
          <w:rtl w:val="0"/>
        </w:rPr>
        <w:t xml:space="preserve">2. Metodologiya (Methodology)</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187" w:line="275"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Bu bölmədə tədqiqatın aparılma üsulları, istifadə olunan modellər, məlumatların toplanması və təhlili üsulları göstərilir. Oxucunun bu tədqiqatı təkrar edə bilməsi (replicability) üçün metodoloji addımlar tam və şəffaf şəkildə yazılmalıdır.</w:t>
      </w:r>
    </w:p>
    <w:p w:rsidR="00000000" w:rsidDel="00000000" w:rsidP="00000000" w:rsidRDefault="00000000" w:rsidRPr="00000000" w14:paraId="00000012">
      <w:pPr>
        <w:pStyle w:val="Heading3"/>
        <w:spacing w:after="120" w:before="0" w:line="275"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3. Tədqiqatın Nəticələri və Müzakirə (Results and Discussion)</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187" w:line="275"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Bu hissədə əldə edilən elmi nəticələr cədvəllər, qrafiklər və ya düsturlar vasitəsilə təqdim olunur və mövcud ədəbiyyatla müqayisə edilərək müzakirə edilir.</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187" w:line="275"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Cədvəl nümunəsi:</w:t>
      </w:r>
    </w:p>
    <w:tbl>
      <w:tblPr>
        <w:tblStyle w:val="Table1"/>
        <w:tblW w:w="9360.0" w:type="dxa"/>
        <w:jc w:val="left"/>
        <w:tblBorders>
          <w:top w:color="c4c7c5" w:space="0" w:sz="6" w:val="single"/>
          <w:left w:color="c4c7c5" w:space="0" w:sz="6" w:val="single"/>
          <w:bottom w:color="c4c7c5" w:space="0" w:sz="6" w:val="single"/>
          <w:right w:color="c4c7c5" w:space="0" w:sz="6" w:val="single"/>
          <w:insideH w:color="c4c7c5" w:space="0" w:sz="6" w:val="single"/>
          <w:insideV w:color="c4c7c5"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tcPr>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120" w:before="120" w:line="275"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Göstərici</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tcPr>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120" w:before="120" w:line="275"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Ölçü Vahidi</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tcPr>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120" w:before="120" w:line="275"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Nəticə (Model 1)</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tcPr>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120" w:before="120" w:line="275"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Nəticə (Model 2)</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tcPr>
          <w:p w:rsidR="00000000" w:rsidDel="00000000" w:rsidP="00000000" w:rsidRDefault="00000000" w:rsidRPr="00000000" w14:paraId="00000019">
            <w:pPr>
              <w:pBdr>
                <w:top w:space="0" w:sz="0" w:val="nil"/>
                <w:left w:space="0" w:sz="0" w:val="nil"/>
                <w:bottom w:space="0" w:sz="0" w:val="nil"/>
                <w:right w:space="0" w:sz="0" w:val="nil"/>
                <w:between w:space="0" w:sz="0" w:val="nil"/>
              </w:pBdr>
              <w:spacing w:line="275"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Dəyişkən 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tcPr>
          <w:p w:rsidR="00000000" w:rsidDel="00000000" w:rsidP="00000000" w:rsidRDefault="00000000" w:rsidRPr="00000000" w14:paraId="0000001A">
            <w:pPr>
              <w:pBdr>
                <w:top w:space="0" w:sz="0" w:val="nil"/>
                <w:left w:space="0" w:sz="0" w:val="nil"/>
                <w:bottom w:space="0" w:sz="0" w:val="nil"/>
                <w:right w:space="0" w:sz="0" w:val="nil"/>
                <w:between w:space="0" w:sz="0" w:val="nil"/>
              </w:pBdr>
              <w:spacing w:line="275"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Pr>
              <w:drawing>
                <wp:inline distB="19050" distT="19050" distL="19050" distR="19050">
                  <wp:extent cx="144066" cy="211296"/>
                  <wp:effectExtent b="0" l="0" r="0" t="0"/>
                  <wp:docPr id="2"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144066" cy="211296"/>
                          </a:xfrm>
                          <a:prstGeom prst="rect"/>
                          <a:ln/>
                        </pic:spPr>
                      </pic:pic>
                    </a:graphicData>
                  </a:graphic>
                </wp:inline>
              </w:drawing>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tcPr>
          <w:p w:rsidR="00000000" w:rsidDel="00000000" w:rsidP="00000000" w:rsidRDefault="00000000" w:rsidRPr="00000000" w14:paraId="0000001B">
            <w:pPr>
              <w:pBdr>
                <w:top w:space="0" w:sz="0" w:val="nil"/>
                <w:left w:space="0" w:sz="0" w:val="nil"/>
                <w:bottom w:space="0" w:sz="0" w:val="nil"/>
                <w:right w:space="0" w:sz="0" w:val="nil"/>
                <w:between w:space="0" w:sz="0" w:val="nil"/>
              </w:pBdr>
              <w:spacing w:line="275"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12.4</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tcPr>
          <w:p w:rsidR="00000000" w:rsidDel="00000000" w:rsidP="00000000" w:rsidRDefault="00000000" w:rsidRPr="00000000" w14:paraId="0000001C">
            <w:pPr>
              <w:pBdr>
                <w:top w:space="0" w:sz="0" w:val="nil"/>
                <w:left w:space="0" w:sz="0" w:val="nil"/>
                <w:bottom w:space="0" w:sz="0" w:val="nil"/>
                <w:right w:space="0" w:sz="0" w:val="nil"/>
                <w:between w:space="0" w:sz="0" w:val="nil"/>
              </w:pBdr>
              <w:spacing w:line="275"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15.1</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tcPr>
          <w:p w:rsidR="00000000" w:rsidDel="00000000" w:rsidP="00000000" w:rsidRDefault="00000000" w:rsidRPr="00000000" w14:paraId="0000001D">
            <w:pPr>
              <w:pBdr>
                <w:top w:space="0" w:sz="0" w:val="nil"/>
                <w:left w:space="0" w:sz="0" w:val="nil"/>
                <w:bottom w:space="0" w:sz="0" w:val="nil"/>
                <w:right w:space="0" w:sz="0" w:val="nil"/>
                <w:between w:space="0" w:sz="0" w:val="nil"/>
              </w:pBdr>
              <w:spacing w:line="275"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Dəyişkən B</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tcPr>
          <w:p w:rsidR="00000000" w:rsidDel="00000000" w:rsidP="00000000" w:rsidRDefault="00000000" w:rsidRPr="00000000" w14:paraId="0000001E">
            <w:pPr>
              <w:pBdr>
                <w:top w:space="0" w:sz="0" w:val="nil"/>
                <w:left w:space="0" w:sz="0" w:val="nil"/>
                <w:bottom w:space="0" w:sz="0" w:val="nil"/>
                <w:right w:space="0" w:sz="0" w:val="nil"/>
                <w:between w:space="0" w:sz="0" w:val="nil"/>
              </w:pBdr>
              <w:spacing w:line="275"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Ədəd</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tcPr>
          <w:p w:rsidR="00000000" w:rsidDel="00000000" w:rsidP="00000000" w:rsidRDefault="00000000" w:rsidRPr="00000000" w14:paraId="0000001F">
            <w:pPr>
              <w:pBdr>
                <w:top w:space="0" w:sz="0" w:val="nil"/>
                <w:left w:space="0" w:sz="0" w:val="nil"/>
                <w:bottom w:space="0" w:sz="0" w:val="nil"/>
                <w:right w:space="0" w:sz="0" w:val="nil"/>
                <w:between w:space="0" w:sz="0" w:val="nil"/>
              </w:pBdr>
              <w:spacing w:line="275"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105</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tcPr>
          <w:p w:rsidR="00000000" w:rsidDel="00000000" w:rsidP="00000000" w:rsidRDefault="00000000" w:rsidRPr="00000000" w14:paraId="00000020">
            <w:pPr>
              <w:pBdr>
                <w:top w:space="0" w:sz="0" w:val="nil"/>
                <w:left w:space="0" w:sz="0" w:val="nil"/>
                <w:bottom w:space="0" w:sz="0" w:val="nil"/>
                <w:right w:space="0" w:sz="0" w:val="nil"/>
                <w:between w:space="0" w:sz="0" w:val="nil"/>
              </w:pBdr>
              <w:spacing w:line="275"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112</w:t>
            </w:r>
          </w:p>
        </w:tc>
      </w:tr>
    </w:tbl>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187" w:before="480" w:line="275"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Nəticələrin izahı burada davam edir. Həmçinin analiz zamanı istifadə olunan digər düsturlar da bu hissədə yer ala bilər:</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187" w:line="275"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23">
      <w:pPr>
        <w:pStyle w:val="Heading3"/>
        <w:spacing w:after="120" w:before="0" w:line="275"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Pr>
        <w:drawing>
          <wp:inline distB="19050" distT="19050" distL="19050" distR="19050">
            <wp:extent cx="5905500" cy="738188"/>
            <wp:effectExtent b="0" l="0" r="0" t="0"/>
            <wp:docPr id="1"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5905500" cy="738188"/>
                    </a:xfrm>
                    <a:prstGeom prst="rect"/>
                    <a:ln/>
                  </pic:spPr>
                </pic:pic>
              </a:graphicData>
            </a:graphic>
          </wp:inline>
        </w:drawing>
      </w:r>
      <w:r w:rsidDel="00000000" w:rsidR="00000000" w:rsidRPr="00000000">
        <w:rPr>
          <w:rFonts w:ascii="Google Sans" w:cs="Google Sans" w:eastAsia="Google Sans" w:hAnsi="Google Sans"/>
          <w:color w:val="1f1f1f"/>
          <w:rtl w:val="0"/>
        </w:rPr>
        <w:t xml:space="preserve">4. Nəticə (Conclusion)</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187" w:line="275"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Tədqiqatın ümumi yekunu, əldə olunan əsas elmi yeniliklər, praktik tətbiqi və gələcək tədqiqatlar üçün tövsiyələr bu bölmədə qısa və konkret şəkildə ümumiləşdirilir.</w:t>
      </w:r>
    </w:p>
    <w:p w:rsidR="00000000" w:rsidDel="00000000" w:rsidP="00000000" w:rsidRDefault="00000000" w:rsidRPr="00000000" w14:paraId="00000025">
      <w:pPr>
        <w:pStyle w:val="Heading3"/>
        <w:spacing w:after="120" w:before="0" w:line="275" w:lineRule="auto"/>
        <w:rPr>
          <w:rFonts w:ascii="Google Sans" w:cs="Google Sans" w:eastAsia="Google Sans" w:hAnsi="Google Sans"/>
          <w:color w:val="1f1f1f"/>
        </w:rPr>
      </w:pPr>
      <w:bookmarkStart w:colFirst="0" w:colLast="0" w:name="_6mp38fuuy4wi" w:id="0"/>
      <w:bookmarkEnd w:id="0"/>
      <w:r w:rsidDel="00000000" w:rsidR="00000000" w:rsidRPr="00000000">
        <w:rPr>
          <w:rFonts w:ascii="Google Sans" w:cs="Google Sans" w:eastAsia="Google Sans" w:hAnsi="Google Sans"/>
          <w:color w:val="1f1f1f"/>
          <w:rtl w:val="0"/>
        </w:rPr>
        <w:t xml:space="preserve">Ədəbiyyat Siyahısı (References)</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120" w:line="275" w:lineRule="auto"/>
        <w:rPr>
          <w:rFonts w:ascii="Google Sans" w:cs="Google Sans" w:eastAsia="Google Sans" w:hAnsi="Google Sans"/>
          <w:i w:val="1"/>
          <w:iCs w:val="1"/>
          <w:color w:val="1f1f1f"/>
        </w:rPr>
      </w:pPr>
      <w:r w:rsidDel="00000000" w:rsidR="00000000" w:rsidRPr="00000000">
        <w:rPr>
          <w:rFonts w:ascii="Google Sans" w:cs="Google Sans" w:eastAsia="Google Sans" w:hAnsi="Google Sans"/>
          <w:i w:val="1"/>
          <w:iCs w:val="1"/>
          <w:color w:val="1f1f1f"/>
          <w:rtl w:val="0"/>
        </w:rPr>
        <w:t xml:space="preserve">Beynəlxalq jurnalların əksəriyyəti APA (American Psychological Association) və ya IEEE üslubuna üstünlük verir. Nümunələr:</w:t>
      </w:r>
    </w:p>
    <w:p w:rsidR="00000000" w:rsidDel="00000000" w:rsidP="00000000" w:rsidRDefault="00000000" w:rsidRPr="00000000" w14:paraId="00000027">
      <w:pPr>
        <w:numPr>
          <w:ilvl w:val="0"/>
          <w:numId w:val="1"/>
        </w:numPr>
        <w:pBdr>
          <w:top w:space="0" w:sz="0" w:val="nil"/>
          <w:left w:space="0" w:sz="0" w:val="nil"/>
          <w:bottom w:space="0" w:sz="0" w:val="nil"/>
          <w:right w:space="0" w:sz="0" w:val="nil"/>
          <w:between w:space="0" w:sz="0" w:val="nil"/>
        </w:pBdr>
        <w:spacing w:line="275" w:lineRule="auto"/>
        <w:ind w:left="480" w:hanging="360"/>
        <w:rPr/>
      </w:pPr>
      <w:r w:rsidDel="00000000" w:rsidR="00000000" w:rsidRPr="00000000">
        <w:rPr>
          <w:rFonts w:ascii="Google Sans" w:cs="Google Sans" w:eastAsia="Google Sans" w:hAnsi="Google Sans"/>
          <w:color w:val="1f1f1f"/>
          <w:rtl w:val="0"/>
        </w:rPr>
        <w:t xml:space="preserve">Məmmədov, A. (2024). </w:t>
      </w:r>
      <w:r w:rsidDel="00000000" w:rsidR="00000000" w:rsidRPr="00000000">
        <w:rPr>
          <w:rFonts w:ascii="Google Sans" w:cs="Google Sans" w:eastAsia="Google Sans" w:hAnsi="Google Sans"/>
          <w:i w:val="1"/>
          <w:iCs w:val="1"/>
          <w:color w:val="1f1f1f"/>
          <w:rtl w:val="0"/>
        </w:rPr>
        <w:t xml:space="preserve">Müasir Elmi Tədqiqatların Metodologiyası</w:t>
      </w:r>
      <w:r w:rsidDel="00000000" w:rsidR="00000000" w:rsidRPr="00000000">
        <w:rPr>
          <w:rFonts w:ascii="Google Sans" w:cs="Google Sans" w:eastAsia="Google Sans" w:hAnsi="Google Sans"/>
          <w:color w:val="1f1f1f"/>
          <w:rtl w:val="0"/>
        </w:rPr>
        <w:t xml:space="preserve">. Bakı: Elm nəşriyyatı.</w:t>
      </w:r>
      <w:r w:rsidDel="00000000" w:rsidR="00000000" w:rsidRPr="00000000">
        <w:rPr>
          <w:rtl w:val="0"/>
        </w:rPr>
      </w:r>
    </w:p>
    <w:p w:rsidR="00000000" w:rsidDel="00000000" w:rsidP="00000000" w:rsidRDefault="00000000" w:rsidRPr="00000000" w14:paraId="00000028">
      <w:pPr>
        <w:numPr>
          <w:ilvl w:val="0"/>
          <w:numId w:val="1"/>
        </w:numPr>
        <w:pBdr>
          <w:top w:space="0" w:sz="0" w:val="nil"/>
          <w:left w:space="0" w:sz="0" w:val="nil"/>
          <w:bottom w:space="0" w:sz="0" w:val="nil"/>
          <w:right w:space="0" w:sz="0" w:val="nil"/>
          <w:between w:space="0" w:sz="0" w:val="nil"/>
        </w:pBdr>
        <w:spacing w:after="120" w:line="275" w:lineRule="auto"/>
        <w:ind w:left="480" w:hanging="360"/>
        <w:rPr/>
      </w:pPr>
      <w:r w:rsidDel="00000000" w:rsidR="00000000" w:rsidRPr="00000000">
        <w:rPr>
          <w:rFonts w:ascii="Google Sans" w:cs="Google Sans" w:eastAsia="Google Sans" w:hAnsi="Google Sans"/>
          <w:color w:val="1f1f1f"/>
          <w:rtl w:val="0"/>
        </w:rPr>
        <w:t xml:space="preserve">Smith, J., &amp; Johnson, R. (2023). Modern approaches to international journal publishing. </w:t>
      </w:r>
      <w:r w:rsidDel="00000000" w:rsidR="00000000" w:rsidRPr="00000000">
        <w:rPr>
          <w:rFonts w:ascii="Google Sans" w:cs="Google Sans" w:eastAsia="Google Sans" w:hAnsi="Google Sans"/>
          <w:i w:val="1"/>
          <w:iCs w:val="1"/>
          <w:color w:val="1f1f1f"/>
          <w:rtl w:val="0"/>
        </w:rPr>
        <w:t xml:space="preserve">Journal of Applied Research</w:t>
      </w:r>
      <w:r w:rsidDel="00000000" w:rsidR="00000000" w:rsidRPr="00000000">
        <w:rPr>
          <w:rFonts w:ascii="Google Sans" w:cs="Google Sans" w:eastAsia="Google Sans" w:hAnsi="Google Sans"/>
          <w:color w:val="1f1f1f"/>
          <w:rtl w:val="0"/>
        </w:rPr>
        <w:t xml:space="preserve">, 45(2), 112-125. https://doi.org/10.xxxx/jar.2023.001</w:t>
      </w: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pacing w:after="240" w:before="240" w:lineRule="auto"/>
    </w:pPr>
    <w:rPr>
      <w:b w:val="1"/>
      <w:bCs w:val="1"/>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pacing w:after="225" w:before="225" w:lineRule="auto"/>
    </w:pPr>
    <w:rPr>
      <w:b w:val="1"/>
      <w:bCs w:val="1"/>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pacing w:after="240" w:before="240" w:lineRule="auto"/>
    </w:pPr>
    <w:rPr>
      <w:b w:val="1"/>
      <w:bCs w:val="1"/>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pacing w:after="255" w:before="255" w:lineRule="auto"/>
    </w:pPr>
    <w:rPr>
      <w:b w:val="1"/>
      <w:bCs w:val="1"/>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pacing w:after="255" w:before="255" w:lineRule="auto"/>
    </w:pPr>
    <w:rPr>
      <w:b w:val="1"/>
      <w:bCs w:val="1"/>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pacing w:after="360" w:before="360" w:lineRule="auto"/>
    </w:pPr>
    <w:rPr>
      <w:b w:val="1"/>
      <w:bCs w:val="1"/>
      <w:sz w:val="16"/>
      <w:szCs w:val="16"/>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1.png"/><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